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孕检风险</w:t>
      </w:r>
      <w:r>
        <w:rPr>
          <w:rFonts w:hint="eastAsia"/>
          <w:lang w:val="en-US" w:eastAsia="zh-CN"/>
        </w:rPr>
        <w:t>自动</w:t>
      </w:r>
      <w:r>
        <w:rPr>
          <w:rFonts w:hint="eastAsia"/>
        </w:rPr>
        <w:t>评估判断标准</w:t>
      </w:r>
      <w:r>
        <w:rPr>
          <w:rFonts w:hint="eastAsia"/>
          <w:lang w:val="en-US" w:eastAsia="zh-CN"/>
        </w:rPr>
        <w:t>及指导</w:t>
      </w:r>
      <w:r>
        <w:rPr>
          <w:rFonts w:hint="eastAsia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说明：科室提出需求：系统根据孕优模块页面上所选的内容，自动判断生成评估报告，判断规则由相关医生审核、补充、确认，规则一旦运行不轻易修改调整，该判断依据及对应指导建议如下：</w:t>
      </w:r>
    </w:p>
    <w:p/>
    <w:tbl>
      <w:tblPr>
        <w:tblStyle w:val="5"/>
        <w:tblpPr w:leftFromText="180" w:rightFromText="180" w:vertAnchor="text" w:horzAnchor="page" w:tblpX="1342" w:tblpY="338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1581"/>
        <w:gridCol w:w="2075"/>
        <w:gridCol w:w="672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模块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在系统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模块</w:t>
            </w:r>
            <w:r>
              <w:rPr>
                <w:rFonts w:hint="eastAsia" w:ascii="宋体" w:hAnsi="宋体" w:eastAsia="宋体" w:cs="宋体"/>
                <w:szCs w:val="21"/>
              </w:rPr>
              <w:t>所对应的位置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判断规则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风险等级</w:t>
            </w:r>
          </w:p>
        </w:tc>
        <w:tc>
          <w:tcPr>
            <w:tcW w:w="41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szCs w:val="21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孕优模块</w:t>
            </w:r>
          </w:p>
        </w:tc>
        <w:tc>
          <w:tcPr>
            <w:tcW w:w="504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男</w:t>
            </w:r>
          </w:p>
        </w:tc>
        <w:tc>
          <w:tcPr>
            <w:tcW w:w="1581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家族成员是否有人患有以下疾病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其他出生缺陷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1.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选择了地中海贫血、白化病、血友病、G6PD 缺乏症2.填了其他出生缺陷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有生育相同疾病患儿的风险，建议孕前进行遗传咨询，按照专科医生的意见选择是否怀孕，若可以怀孕，孕期需做产前诊断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1.是否患有或曾患有以下疾病2.是否患有出生缺陷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癫痫，地中海贫血，精神心理疾、肿瘤、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2.选了是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有生育相同疾病患儿的风险，建议孕前到专科（遗传优生科或相应科室）进行遗传咨询，按照专科医生的意见选择是否怀孕。如可以怀孕，孕期需作产前诊断。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是否吸烟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有可能对精子发育造成不良影响，从而导致胎儿畸形及其他不良妊娠结局等，建议戒烟三个月后怀孕为宜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目前是否服药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长时间使用对精子有影响的药物</w:t>
            </w:r>
            <w:r>
              <w:rPr>
                <w:rFonts w:hint="eastAsia" w:ascii="宋体" w:hAnsi="宋体"/>
                <w:color w:val="FF00FF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，可使药物在体内蓄积，可能对精子发育造成不良影响，</w:t>
            </w:r>
            <w:r>
              <w:rPr>
                <w:rFonts w:hint="eastAsia"/>
                <w:color w:val="000000"/>
              </w:rPr>
              <w:t>建议孕前到专科咨询，在专科医生的指导下停药或用药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是否饮酒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可能对精子发育造成不良影响，从而导致胎儿酒精综合症、流产等，建议戒酒3个月后怀孕为宜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生活或工作环境中是否接触以下因素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选了射线、环境化学毒害物、有机溶剂 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可能对精子发育造成不良影响，从而导致胎儿畸形及其他不良妊娠结局等，建议脱离此不良因素3个月后再怀孕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是否使用可卡因等毒麻药品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可能对精子发育造成不良影响，从而导致胎儿畸形、及其他不良妊娠结局等，建议戒毒或停用毒麻药品至少1年才能怀孕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乙肝血清学检查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建议孕前到传染科或肝病科复查乙肝病毒DNA，根据检查结果择适当的时间怀孕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HBsAg阳性、HBcAb阳性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建议孕前到传染科或肝病科复查乙肝病毒DNA，根据检查结果选择适当的时间怀孕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HBsAg阳性、HBeAb阳性、HBcAb阳性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建议孕前到传染科或肝病科捡查乙肝病毒ＤＮＡ，根据检查结果，专科医生指导选择适当的时间怀孕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HBsAg阳性、HBeAg阳性、HBcAb阳性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建议孕前到感染科或肝病科进一步检查、咨询、治疗，按照专科医生的意见选择合适的时间妊娠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HBsAg阳性、HBeAg阳性、HBeAb阳性、HBcAb阳性，谷丙转氨酶高（</w:t>
            </w:r>
            <w:r>
              <w:rPr>
                <w:rFonts w:hint="eastAsia" w:ascii="宋体" w:hAnsi="宋体"/>
                <w:szCs w:val="21"/>
                <w:lang w:val="en-GB"/>
              </w:rPr>
              <w:t>ALT：大于40u/L）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建议孕前到感染科或肝病科进一步检查、咨询、治疗，按照专科医生的意见选择合适的时间妊娠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梅毒筛查</w:t>
            </w:r>
          </w:p>
        </w:tc>
        <w:tc>
          <w:tcPr>
            <w:tcW w:w="2075" w:type="dxa"/>
          </w:tcPr>
          <w:p>
            <w:pP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实验室导入数据判断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阳性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梅毒确诊试验阳性，建议到皮肤科进一步检查、诊断、治疗，按照专科医生的意见选择合适的时间怀孕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581" w:type="dxa"/>
          </w:tcPr>
          <w:p>
            <w:pPr>
              <w:tabs>
                <w:tab w:val="left" w:pos="365"/>
              </w:tabs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&gt;=35岁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生育染色体疾病患儿的风险增加，建议孕前做遗传优生咨询，孕期做产前诊断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是否吸烟或被动吸烟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页面上填了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吸烟/天或被动吸烟/天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可能导致流产、出生缺陷等，建议戒烟/脱离被动吸烟环境3个月后再怀孕，整个孕期避免接触吸烟环境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饮酒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可能导致胎儿酒精综合症、流产等，建议戒酒3个月后再怀孕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吸毒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可能导致胎儿畸形、成瘾及其他不良妊娠结局等，建议戒毒或停用毒麻药品至少1年才能怀孕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是否口臭或是否牙龈出血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任意一个选了是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龋齿、牙周炎、口臭等口腔疾病会引发牙龈出血、牙痛、发热等症状，影响孕妇进食、休息及营养摄入，从而影响胎儿生长发育。建议孕前到口腔科咨询、诊治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生活或工作环境中是否接触以下因素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选了射线、环境化学毒害物、有机溶剂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目前怀孕可能导致出生缺陷及其他不良妊娠结局，建议脱离此不良环境3个月后再怀孕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1.是否感到生活工作压力2.亲友关系3.经济压力很大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任意一个选了很大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可能导致出生缺陷及其他不良妊娠结局，建议缓解心理压力，调整好情绪一段时间后再怀孕。必要时到专科进行诊治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1.是否患有或曾患有以下疾病2.是否患有出生缺陷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癫痫，地中海贫血，精神心理疾、肿瘤、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告知具体疾病：有生育相同疾病患儿的风险，建议孕前到专科（遗传优生科或相应科室）进行遗传咨询，按照专科医生的意见选择是否怀孕。如可以怀孕，孕期需作产前诊断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1.家族成员是否有人患有以下疾病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2.其他出生缺陷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1.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选择了地中海贫血、白化病、血友病、G6PD 缺乏症2.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填了其他出生缺陷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有生育相同疾病患儿的风险，建议孕前进行遗传咨询，按照专科医生的意见选择是否怀孕，若可以怀孕，孕期需做产前诊断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目前是否服药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长期用药可使药物在体内蓄积，孕期用药也可能对胎儿造成不良影响，建议孕前到专科咨询，在专科医生的指导下停药或用药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自然流产&gt;=2或者 死胎死产=1</w:t>
            </w:r>
          </w:p>
        </w:tc>
        <w:tc>
          <w:tcPr>
            <w:tcW w:w="2075" w:type="dxa"/>
          </w:tcPr>
          <w:p>
            <w:pPr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两者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任意一个填的数据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满足条件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建议孕前到产科或遗传优生科咨询，按照产科医生的意见选择是否怀孕。如可以怀孕，孕期需作产前诊断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是否分娩过出生缺陷儿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建议孕前到产科或遗传优生科咨询，按照产科医生的意见选择是否怀孕。如可以怀孕，孕期需作产前诊断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早产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填了次数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有再次发生早产的风险，建议到妇产科做相关检查，查找原因，按照妇产科医生的意见选择合适的时间怀孕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夫妻是否近亲结婚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选了是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有增加生育遗传疾病患儿的风险，建议孕前进行遗传咨询，按照专科医生的意见选择是否怀孕，若可以怀孕，孕期需做产前诊断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葡萄胎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填了数字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再次发生葡萄胎的风险高，建议孕前作产科咨询及相关检查，查找原因，按产科医生的意见选择合适的时间怀孕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异位妊娠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填了数字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有再次发生异位妊娠的风险，建议</w:t>
            </w:r>
            <w:r>
              <w:rPr>
                <w:rFonts w:hint="eastAsia"/>
                <w:szCs w:val="21"/>
              </w:rPr>
              <w:t>到妇产科做相关检查，查找原因，按照妇产科</w:t>
            </w:r>
            <w:r>
              <w:rPr>
                <w:rFonts w:hint="eastAsia"/>
                <w:color w:val="000000"/>
                <w:szCs w:val="21"/>
              </w:rPr>
              <w:t>医生的意见选择合适的时间怀孕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体重指数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体重指数BMI&lt;=16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体重过轻可能影响胎儿智力发育、导致死胎等，建议查找原因，合理饮食，增加体重，使体重达到或接近正常后怀孕为宜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体重指数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BMI﹥=28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肥胖可能影响内分泌功能、胎儿发育、分娩过程等，查找原因，建议合理饮食，加强运动、使体重达到或接近正常范围后怀孕为宜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血压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页面上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达到或超出该指数140/90 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请医生注明两个数字都满足条件还是任意一个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建议到心血管内科进一步检查，明确诊断，治疗，按照专科医生的意见选择合适的时间怀孕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贫血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血红蛋白偏低（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Hb：﹤９０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建议专科复查，内科诊治，纠正贫血后再怀孕，并在孕期适当增加营养，定期检查</w:t>
            </w:r>
            <w:r>
              <w:rPr>
                <w:rFonts w:hint="eastAsia" w:ascii="宋体" w:hAnsi="宋体" w:eastAsia="宋体" w:cs="宋体"/>
                <w:szCs w:val="21"/>
                <w:lang w:val="en-GB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血小板偏低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（PLT： ﹤50×10</w:t>
            </w:r>
            <w:r>
              <w:rPr>
                <w:rFonts w:hint="eastAsia" w:ascii="宋体" w:hAnsi="宋体" w:eastAsia="宋体" w:cs="宋体"/>
                <w:color w:val="FF0000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/L）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建议到血液科或内科检查、诊断治疗，按照专科医生的意见怀孕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滴虫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建议到妇科门诊治疗，治愈后再怀孕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线索细胞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 胺臭味实验阳性及pH值﹥4.5（或BV阳性）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建议到妇科门诊治疗，治愈后再怀孕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淋球菌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建议到妇科门诊治疗，治愈后再怀孕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沙眼衣原体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建议到妇科门诊治疗，治愈后再怀孕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梅毒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建议到皮肤科进一步检查、诊断、治疗，按照专科医生的意见选择合适的时间怀孕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乙肝血清学检查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</w:t>
            </w:r>
          </w:p>
        </w:tc>
        <w:tc>
          <w:tcPr>
            <w:tcW w:w="67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建议孕前到传染科或肝病科复查乙肝病毒DNA，根据检查结果择适当的时间怀孕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HBsAg阳性、HBcAb阳性</w:t>
            </w:r>
          </w:p>
        </w:tc>
        <w:tc>
          <w:tcPr>
            <w:tcW w:w="67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建议孕前到传染科或肝病科复查乙肝病毒DNA，根据检查结果选择适当的时间怀孕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HBsAg阳性、HBeAb阳性、HBcAb阳性</w:t>
            </w:r>
          </w:p>
        </w:tc>
        <w:tc>
          <w:tcPr>
            <w:tcW w:w="67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建议孕前到传染科或肝病科捡查乙肝病毒ＤＮＡ，根据检查结果，专科医生指导选择适当的时间怀孕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HBsAg阳性、HBeAg阳性、HBcAb阳性</w:t>
            </w:r>
          </w:p>
        </w:tc>
        <w:tc>
          <w:tcPr>
            <w:tcW w:w="67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建议孕前到感染科或肝病科进一步检查、咨询、治疗，按照专科医生的意见选择合适的时间妊娠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HBsAg阳性、HBeAg阳性、HBeAb阳性、HBcAb阳性，谷丙转氨酶高（</w:t>
            </w:r>
            <w:r>
              <w:rPr>
                <w:rFonts w:hint="eastAsia" w:ascii="宋体" w:hAnsi="宋体"/>
                <w:szCs w:val="21"/>
                <w:lang w:val="en-GB"/>
              </w:rPr>
              <w:t>ALT：大于40u/L）</w:t>
            </w:r>
          </w:p>
        </w:tc>
        <w:tc>
          <w:tcPr>
            <w:tcW w:w="67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建议孕前到感染科或肝病科进一步检查、咨询、治疗，按照专科医生的意见选择合适的时间妊娠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血糖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﹥6.1 mmol/L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GB"/>
              </w:rPr>
              <w:t>注意合理饮食，建议内分泌专科进一步检查明确、诊断、治疗，</w:t>
            </w:r>
            <w:r>
              <w:rPr>
                <w:rFonts w:hint="eastAsia" w:ascii="宋体" w:hAnsi="宋体" w:eastAsia="宋体" w:cs="宋体"/>
                <w:szCs w:val="21"/>
              </w:rPr>
              <w:t>按照专科医生的意见选择合适的时间怀孕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谷丙转氨酶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ALT：大于120u/L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孕前到感染科或消化科进一步咨询、复查、诊断、治疗，按照专科医生的意见选择合适的时间怀孕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肌酐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Cr：大于１９０umol/L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建议孕前到肾内科进一步检查、诊断、治疗。按照专科医生的意见选择合适的时间怀孕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促甲状腺激素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正常范围（0.56-5.91 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GB"/>
              </w:rPr>
              <w:t>uIU/m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）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建议到内分泌科进一步检查，明确诊断，按照专科医生的意见选择合适的时间怀孕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风疹病毒IgM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近期有感染，怀孕后可能导致胎儿畸形或流产、死胎等，建议一个月后复查，转阴后再怀孕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弓形虫IgM</w:t>
            </w:r>
          </w:p>
        </w:tc>
        <w:tc>
          <w:tcPr>
            <w:tcW w:w="2075" w:type="dxa"/>
          </w:tcPr>
          <w:p>
            <w:pPr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检验结果为 阳性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</w:p>
        </w:tc>
        <w:tc>
          <w:tcPr>
            <w:tcW w:w="4104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近期有感染，怀孕后可能导致胎儿畸形或流产、死胎等，建议一个月后复查，转阴后再怀孕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</w:rPr>
              <w:t>阴道分泌物检查（婚检）,淋球菌检查（婚检）</w:t>
            </w:r>
          </w:p>
        </w:tc>
        <w:tc>
          <w:tcPr>
            <w:tcW w:w="207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</w:rPr>
              <w:t>清洁度 （IV）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</w:rPr>
              <w:t>霉菌（见到、偶见）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</w:rPr>
              <w:t>滴虫（见到）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</w:rPr>
              <w:t>淋球菌（阳性）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DD"/>
                <w:lang w:eastAsia="zh-CN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建议到妇科就诊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</w:rPr>
              <w:t>人类免疫缺陷病毒抗体</w:t>
            </w:r>
            <w:r>
              <w:rPr>
                <w:rFonts w:ascii="宋体" w:eastAsia="宋体" w:cs="宋体"/>
                <w:kern w:val="0"/>
                <w:sz w:val="21"/>
                <w:szCs w:val="21"/>
                <w:highlight w:val="white"/>
              </w:rPr>
              <w:t>(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</w:rPr>
              <w:t>酶法</w:t>
            </w:r>
            <w:r>
              <w:rPr>
                <w:rFonts w:ascii="宋体" w:eastAsia="宋体" w:cs="宋体"/>
                <w:kern w:val="0"/>
                <w:sz w:val="21"/>
                <w:szCs w:val="21"/>
                <w:highlight w:val="white"/>
              </w:rPr>
              <w:t>)</w:t>
            </w:r>
          </w:p>
        </w:tc>
        <w:tc>
          <w:tcPr>
            <w:tcW w:w="2075" w:type="dxa"/>
          </w:tcPr>
          <w:p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  <w:r>
              <w:rPr>
                <w:rFonts w:hint="eastAsia" w:ascii="Verdana" w:hAnsi="Verdana"/>
                <w:color w:val="333333"/>
                <w:sz w:val="21"/>
                <w:szCs w:val="21"/>
                <w:shd w:val="clear" w:color="auto" w:fill="FFFFDD"/>
              </w:rPr>
              <w:t>有反应性、待确诊、有反应性（已确诊）、待确定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4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highlight w:val="white"/>
              </w:rPr>
            </w:pPr>
          </w:p>
        </w:tc>
        <w:tc>
          <w:tcPr>
            <w:tcW w:w="2075" w:type="dxa"/>
          </w:tcPr>
          <w:p>
            <w:pPr>
              <w:rPr>
                <w:rFonts w:hint="eastAsia" w:ascii="Verdana" w:hAnsi="Verdana"/>
                <w:color w:val="333333"/>
                <w:sz w:val="18"/>
                <w:szCs w:val="18"/>
                <w:shd w:val="clear" w:color="auto" w:fill="FFFFDD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04" w:type="dxa"/>
          </w:tcPr>
          <w:p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highlight w:val="white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  <w:t>判断规则提交确认人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highlight w:val="white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  <w:t>信息科审核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highlight w:val="white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  <w:t>院方意见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D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highlight w:val="white"/>
                <w:lang w:val="en-US"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highlight w:val="white"/>
                <w:lang w:val="en-US" w:eastAsia="zh-CN"/>
              </w:rPr>
              <w:t>备注</w:t>
            </w:r>
          </w:p>
        </w:tc>
        <w:tc>
          <w:tcPr>
            <w:tcW w:w="6851" w:type="dxa"/>
            <w:gridSpan w:val="3"/>
            <w:vAlign w:val="center"/>
          </w:tcPr>
          <w:p>
            <w:pPr>
              <w:jc w:val="center"/>
              <w:rPr>
                <w:rFonts w:hint="default" w:ascii="Verdana" w:hAnsi="Verdana" w:eastAsiaTheme="minorEastAsia"/>
                <w:color w:val="333333"/>
                <w:sz w:val="18"/>
                <w:szCs w:val="18"/>
                <w:shd w:val="clear" w:color="auto" w:fill="FFFFDD"/>
                <w:lang w:val="en-US" w:eastAsia="zh-CN"/>
              </w:rPr>
            </w:pPr>
            <w:r>
              <w:rPr>
                <w:rFonts w:hint="eastAsia" w:ascii="Verdana" w:hAnsi="Verdana"/>
                <w:color w:val="333333"/>
                <w:sz w:val="21"/>
                <w:szCs w:val="21"/>
                <w:shd w:val="clear" w:color="auto" w:fill="FFFFDD"/>
                <w:lang w:val="en-US" w:eastAsia="zh-CN"/>
              </w:rPr>
              <w:t>该需求</w:t>
            </w:r>
            <w:bookmarkStart w:id="0" w:name="_GoBack"/>
            <w:bookmarkEnd w:id="0"/>
            <w:r>
              <w:rPr>
                <w:rFonts w:hint="eastAsia" w:ascii="Verdana" w:hAnsi="Verdana"/>
                <w:color w:val="333333"/>
                <w:sz w:val="21"/>
                <w:szCs w:val="21"/>
                <w:shd w:val="clear" w:color="auto" w:fill="FFFFDD"/>
                <w:lang w:val="en-US" w:eastAsia="zh-CN"/>
              </w:rPr>
              <w:t>由科室确认，信息科确认备份后方才执行。</w:t>
            </w:r>
          </w:p>
        </w:tc>
      </w:tr>
    </w:tbl>
    <w:p/>
    <w:p>
      <w:pPr>
        <w:ind w:firstLine="420"/>
        <w:jc w:val="center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EDB6D"/>
    <w:multiLevelType w:val="singleLevel"/>
    <w:tmpl w:val="2ACEDB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WJjY2U5NWY1OGI2M2MyZDg2OTE4MGZlMGJjOGQifQ=="/>
  </w:docVars>
  <w:rsids>
    <w:rsidRoot w:val="00F16287"/>
    <w:rsid w:val="003D53CB"/>
    <w:rsid w:val="00AE7248"/>
    <w:rsid w:val="00B03274"/>
    <w:rsid w:val="00F16287"/>
    <w:rsid w:val="00FE524F"/>
    <w:rsid w:val="01E224A4"/>
    <w:rsid w:val="034F4B6A"/>
    <w:rsid w:val="04E15802"/>
    <w:rsid w:val="065A73DF"/>
    <w:rsid w:val="093D01F2"/>
    <w:rsid w:val="0C601702"/>
    <w:rsid w:val="126657FB"/>
    <w:rsid w:val="13486703"/>
    <w:rsid w:val="14117DED"/>
    <w:rsid w:val="160A039E"/>
    <w:rsid w:val="25C42464"/>
    <w:rsid w:val="27D52B4D"/>
    <w:rsid w:val="2DA3549B"/>
    <w:rsid w:val="2FAD43AF"/>
    <w:rsid w:val="32506291"/>
    <w:rsid w:val="35B201C9"/>
    <w:rsid w:val="35CB147D"/>
    <w:rsid w:val="378E2D18"/>
    <w:rsid w:val="384A7B5E"/>
    <w:rsid w:val="3AE55345"/>
    <w:rsid w:val="3C1B6B9A"/>
    <w:rsid w:val="46431172"/>
    <w:rsid w:val="4CE70AA9"/>
    <w:rsid w:val="52306A4E"/>
    <w:rsid w:val="570F022E"/>
    <w:rsid w:val="5C693288"/>
    <w:rsid w:val="5C7659A5"/>
    <w:rsid w:val="5E4170BA"/>
    <w:rsid w:val="63635DAB"/>
    <w:rsid w:val="65E87274"/>
    <w:rsid w:val="67803B7C"/>
    <w:rsid w:val="6CFC3901"/>
    <w:rsid w:val="71F87886"/>
    <w:rsid w:val="73152DD1"/>
    <w:rsid w:val="75B72222"/>
    <w:rsid w:val="78746DE5"/>
    <w:rsid w:val="78896B34"/>
    <w:rsid w:val="7B7B00FB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3420</Words>
  <Characters>3637</Characters>
  <Lines>26</Lines>
  <Paragraphs>7</Paragraphs>
  <TotalTime>10</TotalTime>
  <ScaleCrop>false</ScaleCrop>
  <LinksUpToDate>false</LinksUpToDate>
  <CharactersWithSpaces>3659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2022-10-21T08:23:00Z</dcterms:created>
  <dc:creator>SYJ</dc:creator>
  <cp:lastModifiedBy>Administrator</cp:lastModifiedBy>
  <dcterms:modified xsi:type="dcterms:W3CDTF">2023-11-09T01:15:33Z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65C79C859E9348DCB2DBBCD43A5E3A51</vt:lpwstr>
  </property>
</Properties>
</file>